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02">
      <w:pPr>
        <w:spacing w:line="240" w:lineRule="auto"/>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[Your Name] [Your Job Title]</w:t>
      </w:r>
      <w:r w:rsidDel="00000000" w:rsidR="00000000" w:rsidRPr="00000000">
        <w:rPr>
          <w:rFonts w:ascii="Montserrat" w:cs="Montserrat" w:eastAsia="Montserrat" w:hAnsi="Montserrat"/>
          <w:sz w:val="22"/>
          <w:szCs w:val="22"/>
          <w:rtl w:val="0"/>
        </w:rPr>
        <w:br w:type="textWrapping"/>
      </w:r>
      <w:r w:rsidDel="00000000" w:rsidR="00000000" w:rsidRPr="00000000">
        <w:rPr>
          <w:rFonts w:ascii="Montserrat" w:cs="Montserrat" w:eastAsia="Montserrat" w:hAnsi="Montserrat"/>
          <w:b w:val="1"/>
          <w:sz w:val="22"/>
          <w:szCs w:val="22"/>
          <w:rtl w:val="0"/>
        </w:rPr>
        <w:t xml:space="preserve">[Your Department]</w:t>
      </w:r>
      <w:r w:rsidDel="00000000" w:rsidR="00000000" w:rsidRPr="00000000">
        <w:rPr>
          <w:rFonts w:ascii="Montserrat" w:cs="Montserrat" w:eastAsia="Montserrat" w:hAnsi="Montserrat"/>
          <w:sz w:val="22"/>
          <w:szCs w:val="22"/>
          <w:rtl w:val="0"/>
        </w:rPr>
        <w:br w:type="textWrapping"/>
      </w:r>
      <w:r w:rsidDel="00000000" w:rsidR="00000000" w:rsidRPr="00000000">
        <w:rPr>
          <w:rFonts w:ascii="Montserrat" w:cs="Montserrat" w:eastAsia="Montserrat" w:hAnsi="Montserrat"/>
          <w:b w:val="1"/>
          <w:sz w:val="22"/>
          <w:szCs w:val="22"/>
          <w:rtl w:val="0"/>
        </w:rPr>
        <w:t xml:space="preserve">[Your Contact Information]</w:t>
      </w:r>
      <w:r w:rsidDel="00000000" w:rsidR="00000000" w:rsidRPr="00000000">
        <w:rPr>
          <w:rFonts w:ascii="Montserrat" w:cs="Montserrat" w:eastAsia="Montserrat" w:hAnsi="Montserrat"/>
          <w:sz w:val="22"/>
          <w:szCs w:val="22"/>
          <w:rtl w:val="0"/>
        </w:rPr>
        <w:br w:type="textWrapping"/>
      </w:r>
      <w:r w:rsidDel="00000000" w:rsidR="00000000" w:rsidRPr="00000000">
        <w:rPr>
          <w:rFonts w:ascii="Montserrat" w:cs="Montserrat" w:eastAsia="Montserrat" w:hAnsi="Montserrat"/>
          <w:b w:val="1"/>
          <w:sz w:val="22"/>
          <w:szCs w:val="22"/>
          <w:rtl w:val="0"/>
        </w:rPr>
        <w:t xml:space="preserve">[Date]</w:t>
      </w:r>
      <w:r w:rsidDel="00000000" w:rsidR="00000000" w:rsidRPr="00000000">
        <w:rPr>
          <w:rtl w:val="0"/>
        </w:rPr>
      </w:r>
    </w:p>
    <w:p w:rsidR="00000000" w:rsidDel="00000000" w:rsidP="00000000" w:rsidRDefault="00000000" w:rsidRPr="00000000" w14:paraId="00000003">
      <w:pPr>
        <w:spacing w:line="240" w:lineRule="auto"/>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Dear [Supervisor's Name],</w:t>
      </w:r>
      <w:r w:rsidDel="00000000" w:rsidR="00000000" w:rsidRPr="00000000">
        <w:rPr>
          <w:rtl w:val="0"/>
        </w:rPr>
      </w:r>
    </w:p>
    <w:p w:rsidR="00000000" w:rsidDel="00000000" w:rsidP="00000000" w:rsidRDefault="00000000" w:rsidRPr="00000000" w14:paraId="00000004">
      <w:pPr>
        <w:spacing w:after="240" w:before="240" w:line="240"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Request for Support: Attendance at FoE Infusion Nurse Training Workshop</w:t>
      </w:r>
    </w:p>
    <w:p w:rsidR="00000000" w:rsidDel="00000000" w:rsidP="00000000" w:rsidRDefault="00000000" w:rsidRPr="00000000" w14:paraId="00000005">
      <w:pPr>
        <w:spacing w:after="240" w:before="240" w:line="240"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Dear [Supervisor's Name],</w:t>
      </w:r>
    </w:p>
    <w:p w:rsidR="00000000" w:rsidDel="00000000" w:rsidP="00000000" w:rsidRDefault="00000000" w:rsidRPr="00000000" w14:paraId="00000006">
      <w:pPr>
        <w:spacing w:after="240" w:before="240" w:line="240"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I’m writing to request your support in attending </w:t>
      </w:r>
      <w:r w:rsidDel="00000000" w:rsidR="00000000" w:rsidRPr="00000000">
        <w:rPr>
          <w:rFonts w:ascii="Montserrat" w:cs="Montserrat" w:eastAsia="Montserrat" w:hAnsi="Montserrat"/>
          <w:i w:val="1"/>
          <w:sz w:val="22"/>
          <w:szCs w:val="22"/>
          <w:rtl w:val="0"/>
        </w:rPr>
        <w:t xml:space="preserve">Foundations of Excellence: Developing a Strong Training and Education Program for Infusion Nurses</w:t>
      </w:r>
      <w:r w:rsidDel="00000000" w:rsidR="00000000" w:rsidRPr="00000000">
        <w:rPr>
          <w:rFonts w:ascii="Montserrat" w:cs="Montserrat" w:eastAsia="Montserrat" w:hAnsi="Montserrat"/>
          <w:sz w:val="22"/>
          <w:szCs w:val="22"/>
          <w:rtl w:val="0"/>
        </w:rPr>
        <w:t xml:space="preserve">, a one-day workshop hosted by the National Infusion Center Association (NICA) on </w:t>
      </w:r>
      <w:r w:rsidDel="00000000" w:rsidR="00000000" w:rsidRPr="00000000">
        <w:rPr>
          <w:rFonts w:ascii="Montserrat" w:cs="Montserrat" w:eastAsia="Montserrat" w:hAnsi="Montserrat"/>
          <w:b w:val="1"/>
          <w:sz w:val="22"/>
          <w:szCs w:val="22"/>
          <w:rtl w:val="0"/>
        </w:rPr>
        <w:t xml:space="preserve">Thursday, June 19, 2025, in Miami, Florida</w:t>
      </w:r>
      <w:r w:rsidDel="00000000" w:rsidR="00000000" w:rsidRPr="00000000">
        <w:rPr>
          <w:rFonts w:ascii="Montserrat" w:cs="Montserrat" w:eastAsia="Montserrat" w:hAnsi="Montserrat"/>
          <w:sz w:val="22"/>
          <w:szCs w:val="22"/>
          <w:rtl w:val="0"/>
        </w:rPr>
        <w:t xml:space="preserve">.</w:t>
      </w:r>
    </w:p>
    <w:p w:rsidR="00000000" w:rsidDel="00000000" w:rsidP="00000000" w:rsidRDefault="00000000" w:rsidRPr="00000000" w14:paraId="00000007">
      <w:pPr>
        <w:spacing w:after="240" w:before="240" w:line="240"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This immersive training is built for clinical leads like me who are responsible for onboarding, preceptorship, and compliance—and offers practical tools that can immediately strengthen our training processes, reduce risk, and support safe, high-quality care.</w:t>
      </w:r>
    </w:p>
    <w:p w:rsidR="00000000" w:rsidDel="00000000" w:rsidP="00000000" w:rsidRDefault="00000000" w:rsidRPr="00000000" w14:paraId="00000008">
      <w:pPr>
        <w:pStyle w:val="Heading3"/>
        <w:keepNext w:val="0"/>
        <w:keepLines w:val="0"/>
        <w:spacing w:before="280" w:line="240" w:lineRule="auto"/>
        <w:rPr>
          <w:rFonts w:ascii="Montserrat" w:cs="Montserrat" w:eastAsia="Montserrat" w:hAnsi="Montserrat"/>
          <w:b w:val="1"/>
          <w:color w:val="000000"/>
          <w:sz w:val="26"/>
          <w:szCs w:val="26"/>
        </w:rPr>
      </w:pPr>
      <w:bookmarkStart w:colFirst="0" w:colLast="0" w:name="_heading=h.tj2ir0t07xrt" w:id="0"/>
      <w:bookmarkEnd w:id="0"/>
      <w:r w:rsidDel="00000000" w:rsidR="00000000" w:rsidRPr="00000000">
        <w:rPr>
          <w:rFonts w:ascii="Montserrat" w:cs="Montserrat" w:eastAsia="Montserrat" w:hAnsi="Montserrat"/>
          <w:b w:val="1"/>
          <w:color w:val="000000"/>
          <w:sz w:val="26"/>
          <w:szCs w:val="26"/>
          <w:rtl w:val="0"/>
        </w:rPr>
        <w:t xml:space="preserve">Why This Workshop Matters</w:t>
      </w:r>
    </w:p>
    <w:p w:rsidR="00000000" w:rsidDel="00000000" w:rsidP="00000000" w:rsidRDefault="00000000" w:rsidRPr="00000000" w14:paraId="00000009">
      <w:pPr>
        <w:spacing w:after="240" w:before="240" w:line="240"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For less than the cost of a single turnover event, this workshop can help us:</w:t>
      </w:r>
    </w:p>
    <w:p w:rsidR="00000000" w:rsidDel="00000000" w:rsidP="00000000" w:rsidRDefault="00000000" w:rsidRPr="00000000" w14:paraId="0000000A">
      <w:pPr>
        <w:numPr>
          <w:ilvl w:val="0"/>
          <w:numId w:val="3"/>
        </w:numPr>
        <w:spacing w:after="0" w:afterAutospacing="0" w:before="120"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Reduce staff turnover</w:t>
      </w:r>
      <w:r w:rsidDel="00000000" w:rsidR="00000000" w:rsidRPr="00000000">
        <w:rPr>
          <w:rFonts w:ascii="Montserrat" w:cs="Montserrat" w:eastAsia="Montserrat" w:hAnsi="Montserrat"/>
          <w:sz w:val="22"/>
          <w:szCs w:val="22"/>
          <w:rtl w:val="0"/>
        </w:rPr>
        <w:t xml:space="preserve"> with stronger onboarding and preceptorship programs proven to increase retention</w:t>
      </w:r>
    </w:p>
    <w:p w:rsidR="00000000" w:rsidDel="00000000" w:rsidP="00000000" w:rsidRDefault="00000000" w:rsidRPr="00000000" w14:paraId="0000000B">
      <w:pPr>
        <w:numPr>
          <w:ilvl w:val="0"/>
          <w:numId w:val="3"/>
        </w:numPr>
        <w:spacing w:after="0" w:afterAutospacing="0" w:before="0" w:beforeAutospacing="0" w:line="240" w:lineRule="auto"/>
        <w:ind w:left="720" w:hanging="360"/>
        <w:rPr>
          <w:rFonts w:ascii="Montserrat" w:cs="Montserrat" w:eastAsia="Montserrat" w:hAnsi="Montserrat"/>
          <w:sz w:val="22"/>
          <w:szCs w:val="22"/>
          <w:u w:val="none"/>
        </w:rPr>
      </w:pPr>
      <w:r w:rsidDel="00000000" w:rsidR="00000000" w:rsidRPr="00000000">
        <w:rPr>
          <w:rFonts w:ascii="Montserrat" w:cs="Montserrat" w:eastAsia="Montserrat" w:hAnsi="Montserrat"/>
          <w:b w:val="1"/>
          <w:sz w:val="22"/>
          <w:szCs w:val="22"/>
          <w:rtl w:val="0"/>
        </w:rPr>
        <w:t xml:space="preserve">Avoid costly citations</w:t>
      </w:r>
      <w:r w:rsidDel="00000000" w:rsidR="00000000" w:rsidRPr="00000000">
        <w:rPr>
          <w:rFonts w:ascii="Montserrat" w:cs="Montserrat" w:eastAsia="Montserrat" w:hAnsi="Montserrat"/>
          <w:sz w:val="22"/>
          <w:szCs w:val="22"/>
          <w:rtl w:val="0"/>
        </w:rPr>
        <w:t xml:space="preserve"> by ensuring every personnel file contains documentation required by OSHA, CMS, and state nursing boards</w:t>
      </w:r>
    </w:p>
    <w:p w:rsidR="00000000" w:rsidDel="00000000" w:rsidP="00000000" w:rsidRDefault="00000000" w:rsidRPr="00000000" w14:paraId="0000000C">
      <w:pPr>
        <w:numPr>
          <w:ilvl w:val="0"/>
          <w:numId w:val="3"/>
        </w:numPr>
        <w:spacing w:after="0" w:afterAutospacing="0" w:before="0" w:beforeAutospacing="0" w:line="240" w:lineRule="auto"/>
        <w:ind w:left="720" w:hanging="360"/>
        <w:rPr>
          <w:rFonts w:ascii="Montserrat" w:cs="Montserrat" w:eastAsia="Montserrat" w:hAnsi="Montserrat"/>
          <w:sz w:val="22"/>
          <w:szCs w:val="22"/>
          <w:u w:val="none"/>
        </w:rPr>
      </w:pPr>
      <w:r w:rsidDel="00000000" w:rsidR="00000000" w:rsidRPr="00000000">
        <w:rPr>
          <w:rFonts w:ascii="Montserrat" w:cs="Montserrat" w:eastAsia="Montserrat" w:hAnsi="Montserrat"/>
          <w:b w:val="1"/>
          <w:sz w:val="22"/>
          <w:szCs w:val="22"/>
          <w:rtl w:val="0"/>
        </w:rPr>
        <w:t xml:space="preserve">Strengthen our compliance posture</w:t>
      </w:r>
      <w:r w:rsidDel="00000000" w:rsidR="00000000" w:rsidRPr="00000000">
        <w:rPr>
          <w:rFonts w:ascii="Montserrat" w:cs="Montserrat" w:eastAsia="Montserrat" w:hAnsi="Montserrat"/>
          <w:sz w:val="22"/>
          <w:szCs w:val="22"/>
          <w:rtl w:val="0"/>
        </w:rPr>
        <w:t xml:space="preserve"> ahead of audits, inspections, and payer reviews</w:t>
      </w:r>
    </w:p>
    <w:p w:rsidR="00000000" w:rsidDel="00000000" w:rsidP="00000000" w:rsidRDefault="00000000" w:rsidRPr="00000000" w14:paraId="0000000D">
      <w:pPr>
        <w:numPr>
          <w:ilvl w:val="0"/>
          <w:numId w:val="3"/>
        </w:numPr>
        <w:spacing w:after="0" w:afterAutospacing="0" w:before="0" w:beforeAutospacing="0" w:line="240" w:lineRule="auto"/>
        <w:ind w:left="720" w:hanging="360"/>
        <w:rPr>
          <w:rFonts w:ascii="Montserrat" w:cs="Montserrat" w:eastAsia="Montserrat" w:hAnsi="Montserrat"/>
          <w:sz w:val="22"/>
          <w:szCs w:val="22"/>
          <w:u w:val="none"/>
        </w:rPr>
      </w:pPr>
      <w:r w:rsidDel="00000000" w:rsidR="00000000" w:rsidRPr="00000000">
        <w:rPr>
          <w:rFonts w:ascii="Montserrat" w:cs="Montserrat" w:eastAsia="Montserrat" w:hAnsi="Montserrat"/>
          <w:b w:val="1"/>
          <w:sz w:val="22"/>
          <w:szCs w:val="22"/>
          <w:rtl w:val="0"/>
        </w:rPr>
        <w:t xml:space="preserve">Elevate care quality</w:t>
      </w:r>
      <w:r w:rsidDel="00000000" w:rsidR="00000000" w:rsidRPr="00000000">
        <w:rPr>
          <w:rFonts w:ascii="Montserrat" w:cs="Montserrat" w:eastAsia="Montserrat" w:hAnsi="Montserrat"/>
          <w:sz w:val="22"/>
          <w:szCs w:val="22"/>
          <w:rtl w:val="0"/>
        </w:rPr>
        <w:t xml:space="preserve"> with standardized PIVC resources and validated competencies</w:t>
      </w:r>
    </w:p>
    <w:p w:rsidR="00000000" w:rsidDel="00000000" w:rsidP="00000000" w:rsidRDefault="00000000" w:rsidRPr="00000000" w14:paraId="0000000E">
      <w:pPr>
        <w:numPr>
          <w:ilvl w:val="0"/>
          <w:numId w:val="3"/>
        </w:numPr>
        <w:spacing w:after="0" w:before="0" w:beforeAutospacing="0" w:line="240" w:lineRule="auto"/>
        <w:ind w:left="720" w:hanging="360"/>
        <w:rPr>
          <w:rFonts w:ascii="Montserrat" w:cs="Montserrat" w:eastAsia="Montserrat" w:hAnsi="Montserrat"/>
          <w:sz w:val="22"/>
          <w:szCs w:val="22"/>
          <w:u w:val="none"/>
        </w:rPr>
      </w:pPr>
      <w:r w:rsidDel="00000000" w:rsidR="00000000" w:rsidRPr="00000000">
        <w:rPr>
          <w:rFonts w:ascii="Montserrat" w:cs="Montserrat" w:eastAsia="Montserrat" w:hAnsi="Montserrat"/>
          <w:b w:val="1"/>
          <w:sz w:val="22"/>
          <w:szCs w:val="22"/>
          <w:rtl w:val="0"/>
        </w:rPr>
        <w:t xml:space="preserve">Save time and legal risk</w:t>
      </w:r>
      <w:r w:rsidDel="00000000" w:rsidR="00000000" w:rsidRPr="00000000">
        <w:rPr>
          <w:rFonts w:ascii="Montserrat" w:cs="Montserrat" w:eastAsia="Montserrat" w:hAnsi="Montserrat"/>
          <w:sz w:val="22"/>
          <w:szCs w:val="22"/>
          <w:rtl w:val="0"/>
        </w:rPr>
        <w:t xml:space="preserve"> with plug-and-play policies developed by infusion-focused attorneys and compliance experts</w:t>
      </w:r>
    </w:p>
    <w:p w:rsidR="00000000" w:rsidDel="00000000" w:rsidP="00000000" w:rsidRDefault="00000000" w:rsidRPr="00000000" w14:paraId="0000000F">
      <w:pPr>
        <w:spacing w:after="0" w:before="240" w:line="240" w:lineRule="auto"/>
        <w:rPr>
          <w:rFonts w:ascii="Montserrat" w:cs="Montserrat" w:eastAsia="Montserrat" w:hAnsi="Montserrat"/>
          <w:b w:val="1"/>
          <w:color w:val="000000"/>
          <w:sz w:val="26"/>
          <w:szCs w:val="26"/>
        </w:rPr>
      </w:pPr>
      <w:r w:rsidDel="00000000" w:rsidR="00000000" w:rsidRPr="00000000">
        <w:rPr>
          <w:rFonts w:ascii="Montserrat" w:cs="Montserrat" w:eastAsia="Montserrat" w:hAnsi="Montserrat"/>
          <w:b w:val="1"/>
          <w:color w:val="000000"/>
          <w:sz w:val="26"/>
          <w:szCs w:val="26"/>
          <w:rtl w:val="0"/>
        </w:rPr>
        <w:t xml:space="preserve">What I’ll Bring Back</w:t>
      </w:r>
    </w:p>
    <w:p w:rsidR="00000000" w:rsidDel="00000000" w:rsidP="00000000" w:rsidRDefault="00000000" w:rsidRPr="00000000" w14:paraId="00000010">
      <w:pPr>
        <w:spacing w:after="40" w:before="120" w:line="240"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This isn’t a lecture—it’s a hands-on, train-the-trainer session taught by subject matter experts:</w:t>
      </w:r>
    </w:p>
    <w:p w:rsidR="00000000" w:rsidDel="00000000" w:rsidP="00000000" w:rsidRDefault="00000000" w:rsidRPr="00000000" w14:paraId="00000011">
      <w:pPr>
        <w:numPr>
          <w:ilvl w:val="0"/>
          <w:numId w:val="1"/>
        </w:numPr>
        <w:spacing w:after="40" w:before="120"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BD (Becton, Dickinson and Company), a global leader in vascular access solutions and clinical education</w:t>
      </w:r>
    </w:p>
    <w:p w:rsidR="00000000" w:rsidDel="00000000" w:rsidP="00000000" w:rsidRDefault="00000000" w:rsidRPr="00000000" w14:paraId="00000012">
      <w:pPr>
        <w:numPr>
          <w:ilvl w:val="0"/>
          <w:numId w:val="1"/>
        </w:numPr>
        <w:spacing w:after="40" w:before="80"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Infusion Nurses Society</w:t>
      </w:r>
    </w:p>
    <w:p w:rsidR="00000000" w:rsidDel="00000000" w:rsidP="00000000" w:rsidRDefault="00000000" w:rsidRPr="00000000" w14:paraId="00000013">
      <w:pPr>
        <w:numPr>
          <w:ilvl w:val="0"/>
          <w:numId w:val="1"/>
        </w:numPr>
        <w:spacing w:after="40" w:before="80"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Lunder-Dineen Health Education Alliance</w:t>
      </w:r>
    </w:p>
    <w:p w:rsidR="00000000" w:rsidDel="00000000" w:rsidP="00000000" w:rsidRDefault="00000000" w:rsidRPr="00000000" w14:paraId="00000014">
      <w:pPr>
        <w:numPr>
          <w:ilvl w:val="0"/>
          <w:numId w:val="1"/>
        </w:numPr>
        <w:spacing w:after="40" w:before="80"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Healthcare compliance and employment law attorneys with extensive experience supporting infusion providers </w:t>
      </w:r>
    </w:p>
    <w:p w:rsidR="00000000" w:rsidDel="00000000" w:rsidP="00000000" w:rsidRDefault="00000000" w:rsidRPr="00000000" w14:paraId="00000015">
      <w:pPr>
        <w:spacing w:after="40" w:before="240" w:line="240" w:lineRule="auto"/>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I’ll return with:</w:t>
      </w:r>
    </w:p>
    <w:p w:rsidR="00000000" w:rsidDel="00000000" w:rsidP="00000000" w:rsidRDefault="00000000" w:rsidRPr="00000000" w14:paraId="00000016">
      <w:pPr>
        <w:numPr>
          <w:ilvl w:val="0"/>
          <w:numId w:val="2"/>
        </w:numPr>
        <w:spacing w:after="40" w:before="80"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Template policies </w:t>
      </w:r>
    </w:p>
    <w:p w:rsidR="00000000" w:rsidDel="00000000" w:rsidP="00000000" w:rsidRDefault="00000000" w:rsidRPr="00000000" w14:paraId="00000017">
      <w:pPr>
        <w:numPr>
          <w:ilvl w:val="0"/>
          <w:numId w:val="2"/>
        </w:numPr>
        <w:spacing w:after="40" w:before="80"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Onboarding &amp; orientation checklists </w:t>
      </w:r>
    </w:p>
    <w:p w:rsidR="00000000" w:rsidDel="00000000" w:rsidP="00000000" w:rsidRDefault="00000000" w:rsidRPr="00000000" w14:paraId="00000018">
      <w:pPr>
        <w:numPr>
          <w:ilvl w:val="0"/>
          <w:numId w:val="2"/>
        </w:numPr>
        <w:spacing w:after="40" w:before="80"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Quick-reference guides for preceptors</w:t>
      </w:r>
    </w:p>
    <w:p w:rsidR="00000000" w:rsidDel="00000000" w:rsidP="00000000" w:rsidRDefault="00000000" w:rsidRPr="00000000" w14:paraId="00000019">
      <w:pPr>
        <w:numPr>
          <w:ilvl w:val="0"/>
          <w:numId w:val="2"/>
        </w:numPr>
        <w:spacing w:after="40" w:before="80"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Standardized IV competency assessment tools</w:t>
      </w:r>
    </w:p>
    <w:p w:rsidR="00000000" w:rsidDel="00000000" w:rsidP="00000000" w:rsidRDefault="00000000" w:rsidRPr="00000000" w14:paraId="0000001A">
      <w:pPr>
        <w:numPr>
          <w:ilvl w:val="0"/>
          <w:numId w:val="2"/>
        </w:numPr>
        <w:spacing w:after="40" w:before="80"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6 hours of CNE credit and insight to support our future NICA accreditation efforts</w:t>
        <w:br w:type="textWrapping"/>
      </w:r>
    </w:p>
    <w:p w:rsidR="00000000" w:rsidDel="00000000" w:rsidP="00000000" w:rsidRDefault="00000000" w:rsidRPr="00000000" w14:paraId="0000001B">
      <w:pPr>
        <w:pStyle w:val="Heading3"/>
        <w:keepNext w:val="0"/>
        <w:keepLines w:val="0"/>
        <w:spacing w:before="280" w:line="240" w:lineRule="auto"/>
        <w:rPr>
          <w:rFonts w:ascii="Montserrat" w:cs="Montserrat" w:eastAsia="Montserrat" w:hAnsi="Montserrat"/>
          <w:b w:val="1"/>
          <w:color w:val="000000"/>
          <w:sz w:val="26"/>
          <w:szCs w:val="26"/>
        </w:rPr>
      </w:pPr>
      <w:bookmarkStart w:colFirst="0" w:colLast="0" w:name="_heading=h.ev6enr8r2b76" w:id="1"/>
      <w:bookmarkEnd w:id="1"/>
      <w:r w:rsidDel="00000000" w:rsidR="00000000" w:rsidRPr="00000000">
        <w:rPr>
          <w:rFonts w:ascii="Montserrat" w:cs="Montserrat" w:eastAsia="Montserrat" w:hAnsi="Montserrat"/>
          <w:b w:val="1"/>
          <w:color w:val="000000"/>
          <w:sz w:val="26"/>
          <w:szCs w:val="26"/>
          <w:rtl w:val="0"/>
        </w:rPr>
        <w:t xml:space="preserve">Investment Overview</w:t>
      </w:r>
    </w:p>
    <w:tbl>
      <w:tblPr>
        <w:tblStyle w:val="Table1"/>
        <w:tblW w:w="738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00"/>
        <w:gridCol w:w="5280"/>
        <w:tblGridChange w:id="0">
          <w:tblGrid>
            <w:gridCol w:w="2100"/>
            <w:gridCol w:w="5280"/>
          </w:tblGrid>
        </w:tblGridChange>
      </w:tblGrid>
      <w:tr>
        <w:trPr>
          <w:cantSplit w:val="0"/>
          <w:trHeight w:val="500" w:hRule="atLeast"/>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1C">
            <w:pPr>
              <w:spacing w:after="40" w:before="40" w:line="240" w:lineRule="auto"/>
              <w:jc w:val="cente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Expense</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1D">
            <w:pPr>
              <w:spacing w:after="40" w:before="40" w:line="240" w:lineRule="auto"/>
              <w:jc w:val="cente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Estimated Cost</w:t>
            </w:r>
            <w:r w:rsidDel="00000000" w:rsidR="00000000" w:rsidRPr="00000000">
              <w:rPr>
                <w:rtl w:val="0"/>
              </w:rPr>
            </w:r>
          </w:p>
        </w:tc>
      </w:tr>
      <w:tr>
        <w:trPr>
          <w:cantSplit w:val="0"/>
          <w:trHeight w:val="475.29018711018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after="40" w:before="40" w:line="240"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Registration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after="40" w:before="40" w:line="240" w:lineRule="auto"/>
              <w:jc w:val="right"/>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$299 </w:t>
            </w:r>
          </w:p>
          <w:p w:rsidR="00000000" w:rsidDel="00000000" w:rsidP="00000000" w:rsidRDefault="00000000" w:rsidRPr="00000000" w14:paraId="00000020">
            <w:pPr>
              <w:spacing w:after="40" w:before="40" w:line="240" w:lineRule="auto"/>
              <w:jc w:val="right"/>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[$249 for NICA Members]</w:t>
            </w:r>
          </w:p>
        </w:tc>
      </w:tr>
      <w:tr>
        <w:trPr>
          <w:cantSplit w:val="0"/>
          <w:trHeight w:val="536.444906444906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after="40" w:before="40" w:line="240"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Travel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after="40" w:before="40" w:line="240" w:lineRule="auto"/>
              <w:jc w:val="right"/>
              <w:rPr>
                <w:rFonts w:ascii="Montserrat" w:cs="Montserrat" w:eastAsia="Montserrat" w:hAnsi="Montserrat"/>
                <w:i w:val="1"/>
                <w:sz w:val="22"/>
                <w:szCs w:val="22"/>
              </w:rPr>
            </w:pP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i w:val="1"/>
                <w:sz w:val="22"/>
                <w:szCs w:val="22"/>
                <w:rtl w:val="0"/>
              </w:rPr>
              <w:t xml:space="preserve">[Amount]</w:t>
            </w:r>
          </w:p>
        </w:tc>
      </w:tr>
      <w:tr>
        <w:trPr>
          <w:cantSplit w:val="0"/>
          <w:trHeight w:val="536.444906444906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after="40" w:before="40" w:line="240"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Lodging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after="40" w:before="40" w:line="240" w:lineRule="auto"/>
              <w:jc w:val="right"/>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$558 ($279 per night x 2 nights)</w:t>
            </w:r>
          </w:p>
        </w:tc>
      </w:tr>
      <w:tr>
        <w:trPr>
          <w:cantSplit w:val="0"/>
          <w:trHeight w:val="689.71487971487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after="40" w:before="40" w:line="240"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Meals &amp; Incidentals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after="40" w:before="40" w:line="240" w:lineRule="auto"/>
              <w:jc w:val="right"/>
              <w:rPr>
                <w:rFonts w:ascii="Montserrat" w:cs="Montserrat" w:eastAsia="Montserrat" w:hAnsi="Montserrat"/>
                <w:i w:val="1"/>
                <w:sz w:val="22"/>
                <w:szCs w:val="22"/>
              </w:rPr>
            </w:pPr>
            <w:r w:rsidDel="00000000" w:rsidR="00000000" w:rsidRPr="00000000">
              <w:rPr>
                <w:rFonts w:ascii="Montserrat" w:cs="Montserrat" w:eastAsia="Montserrat" w:hAnsi="Montserrat"/>
                <w:sz w:val="22"/>
                <w:szCs w:val="22"/>
                <w:rtl w:val="0"/>
              </w:rPr>
              <w:t xml:space="preserve">$</w:t>
            </w:r>
            <w:r w:rsidDel="00000000" w:rsidR="00000000" w:rsidRPr="00000000">
              <w:rPr>
                <w:rFonts w:ascii="Montserrat" w:cs="Montserrat" w:eastAsia="Montserrat" w:hAnsi="Montserrat"/>
                <w:i w:val="1"/>
                <w:sz w:val="22"/>
                <w:szCs w:val="22"/>
                <w:rtl w:val="0"/>
              </w:rPr>
              <w:t xml:space="preserve"> [Amount]</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after="40" w:before="40" w:line="240" w:lineRule="auto"/>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after="40" w:before="40" w:line="240" w:lineRule="auto"/>
              <w:jc w:val="right"/>
              <w:rPr>
                <w:rFonts w:ascii="Montserrat" w:cs="Montserrat" w:eastAsia="Montserrat" w:hAnsi="Montserrat"/>
                <w:i w:val="1"/>
                <w:sz w:val="22"/>
                <w:szCs w:val="22"/>
              </w:rPr>
            </w:pPr>
            <w:r w:rsidDel="00000000" w:rsidR="00000000" w:rsidRPr="00000000">
              <w:rPr>
                <w:rFonts w:ascii="Montserrat" w:cs="Montserrat" w:eastAsia="Montserrat" w:hAnsi="Montserrat"/>
                <w:b w:val="1"/>
                <w:sz w:val="22"/>
                <w:szCs w:val="22"/>
                <w:rtl w:val="0"/>
              </w:rPr>
              <w:t xml:space="preserve">$</w:t>
            </w:r>
            <w:r w:rsidDel="00000000" w:rsidR="00000000" w:rsidRPr="00000000">
              <w:rPr>
                <w:rFonts w:ascii="Montserrat" w:cs="Montserrat" w:eastAsia="Montserrat" w:hAnsi="Montserrat"/>
                <w:b w:val="1"/>
                <w:i w:val="1"/>
                <w:sz w:val="22"/>
                <w:szCs w:val="22"/>
                <w:rtl w:val="0"/>
              </w:rPr>
              <w:t xml:space="preserve"> [Total]</w:t>
            </w:r>
            <w:r w:rsidDel="00000000" w:rsidR="00000000" w:rsidRPr="00000000">
              <w:rPr>
                <w:rtl w:val="0"/>
              </w:rPr>
            </w:r>
          </w:p>
        </w:tc>
      </w:tr>
    </w:tbl>
    <w:p w:rsidR="00000000" w:rsidDel="00000000" w:rsidP="00000000" w:rsidRDefault="00000000" w:rsidRPr="00000000" w14:paraId="00000029">
      <w:pPr>
        <w:pStyle w:val="Heading3"/>
        <w:keepNext w:val="0"/>
        <w:keepLines w:val="0"/>
        <w:spacing w:before="280" w:line="240" w:lineRule="auto"/>
        <w:rPr>
          <w:rFonts w:ascii="Montserrat" w:cs="Montserrat" w:eastAsia="Montserrat" w:hAnsi="Montserrat"/>
          <w:color w:val="000000"/>
          <w:sz w:val="22"/>
          <w:szCs w:val="22"/>
        </w:rPr>
      </w:pPr>
      <w:bookmarkStart w:colFirst="0" w:colLast="0" w:name="_heading=h.acltvroe7skb" w:id="2"/>
      <w:bookmarkEnd w:id="2"/>
      <w:r w:rsidDel="00000000" w:rsidR="00000000" w:rsidRPr="00000000">
        <w:rPr>
          <w:rFonts w:ascii="Montserrat" w:cs="Montserrat" w:eastAsia="Montserrat" w:hAnsi="Montserrat"/>
          <w:color w:val="000000"/>
          <w:sz w:val="22"/>
          <w:szCs w:val="22"/>
          <w:rtl w:val="0"/>
        </w:rPr>
        <w:t xml:space="preserve">This workshop is a strategic investment in both our team and our bottom line—and one that aligns directly with our goals of clinical excellence, regulatory readiness, and staff development.</w:t>
      </w:r>
    </w:p>
    <w:p w:rsidR="00000000" w:rsidDel="00000000" w:rsidP="00000000" w:rsidRDefault="00000000" w:rsidRPr="00000000" w14:paraId="0000002A">
      <w:pPr>
        <w:spacing w:after="240" w:before="240" w:line="240"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Thank you for considering this request. I’m happy to discuss how I can share what I learn with the broader team upon return.</w:t>
      </w:r>
    </w:p>
    <w:p w:rsidR="00000000" w:rsidDel="00000000" w:rsidP="00000000" w:rsidRDefault="00000000" w:rsidRPr="00000000" w14:paraId="0000002B">
      <w:pPr>
        <w:spacing w:after="240" w:before="240" w:line="240"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Sincerely,</w:t>
        <w:br w:type="textWrapping"/>
        <w:t xml:space="preserve"> [Your Name]</w:t>
      </w:r>
    </w:p>
    <w:p w:rsidR="00000000" w:rsidDel="00000000" w:rsidP="00000000" w:rsidRDefault="00000000" w:rsidRPr="00000000" w14:paraId="0000002C">
      <w:pPr>
        <w:spacing w:after="240" w:before="240" w:line="240" w:lineRule="auto"/>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D">
      <w:pPr>
        <w:spacing w:after="240" w:before="240" w:line="240" w:lineRule="auto"/>
        <w:rPr>
          <w:rFonts w:ascii="Montserrat" w:cs="Montserrat" w:eastAsia="Montserrat" w:hAnsi="Montserrat"/>
          <w:b w:val="1"/>
          <w:sz w:val="22"/>
          <w:szCs w:val="22"/>
        </w:rPr>
      </w:pPr>
      <w:r w:rsidDel="00000000" w:rsidR="00000000" w:rsidRPr="00000000">
        <w:rPr>
          <w:rFonts w:ascii="Montserrat" w:cs="Montserrat" w:eastAsia="Montserrat" w:hAnsi="Montserrat"/>
          <w:sz w:val="22"/>
          <w:szCs w:val="22"/>
          <w:rtl w:val="0"/>
        </w:rPr>
        <w:t xml:space="preserve">Sincerely,</w:t>
        <w:br w:type="textWrapping"/>
        <w:t xml:space="preserve"> </w:t>
      </w:r>
      <w:r w:rsidDel="00000000" w:rsidR="00000000" w:rsidRPr="00000000">
        <w:rPr>
          <w:rFonts w:ascii="Montserrat" w:cs="Montserrat" w:eastAsia="Montserrat" w:hAnsi="Montserrat"/>
          <w:b w:val="1"/>
          <w:sz w:val="22"/>
          <w:szCs w:val="22"/>
          <w:rtl w:val="0"/>
        </w:rPr>
        <w:t xml:space="preserve">[Your Name]</w:t>
      </w:r>
    </w:p>
    <w:p w:rsidR="00000000" w:rsidDel="00000000" w:rsidP="00000000" w:rsidRDefault="00000000" w:rsidRPr="00000000" w14:paraId="0000002E">
      <w:pPr>
        <w:spacing w:line="240" w:lineRule="auto"/>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F">
      <w:pPr>
        <w:spacing w:line="240" w:lineRule="auto"/>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30">
      <w:pPr>
        <w:spacing w:line="240" w:lineRule="auto"/>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31">
      <w:pPr>
        <w:spacing w:line="240"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*Attach FoE Agenda and all session descriptions</w:t>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Montserra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drawing>
        <wp:inline distB="0" distT="0" distL="0" distR="0">
          <wp:extent cx="3809860" cy="952465"/>
          <wp:effectExtent b="0" l="0" r="0" t="0"/>
          <wp:docPr descr="A blue and black text on a black background&#10;&#10;Description automatically generated" id="656710766" name="image1.png"/>
          <a:graphic>
            <a:graphicData uri="http://schemas.openxmlformats.org/drawingml/2006/picture">
              <pic:pic>
                <pic:nvPicPr>
                  <pic:cNvPr descr="A blue and black text on a black background&#10;&#10;Description automatically generated" id="0" name="image1.png"/>
                  <pic:cNvPicPr preferRelativeResize="0"/>
                </pic:nvPicPr>
                <pic:blipFill>
                  <a:blip r:embed="rId1"/>
                  <a:srcRect b="0" l="0" r="0" t="0"/>
                  <a:stretch>
                    <a:fillRect/>
                  </a:stretch>
                </pic:blipFill>
                <pic:spPr>
                  <a:xfrm>
                    <a:off x="0" y="0"/>
                    <a:ext cx="3809860" cy="95246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712EC3"/>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712EC3"/>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712EC3"/>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712EC3"/>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712EC3"/>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712EC3"/>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712EC3"/>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712EC3"/>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712EC3"/>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12EC3"/>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712EC3"/>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712EC3"/>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712EC3"/>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712EC3"/>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712EC3"/>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712EC3"/>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712EC3"/>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712EC3"/>
    <w:rPr>
      <w:rFonts w:cstheme="majorBidi" w:eastAsiaTheme="majorEastAsia"/>
      <w:color w:val="272727" w:themeColor="text1" w:themeTint="0000D8"/>
    </w:rPr>
  </w:style>
  <w:style w:type="paragraph" w:styleId="Title">
    <w:name w:val="Title"/>
    <w:basedOn w:val="Normal"/>
    <w:next w:val="Normal"/>
    <w:link w:val="TitleChar"/>
    <w:uiPriority w:val="10"/>
    <w:qFormat w:val="1"/>
    <w:rsid w:val="00712EC3"/>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712EC3"/>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712EC3"/>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712EC3"/>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712EC3"/>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712EC3"/>
    <w:rPr>
      <w:i w:val="1"/>
      <w:iCs w:val="1"/>
      <w:color w:val="404040" w:themeColor="text1" w:themeTint="0000BF"/>
    </w:rPr>
  </w:style>
  <w:style w:type="paragraph" w:styleId="ListParagraph">
    <w:name w:val="List Paragraph"/>
    <w:basedOn w:val="Normal"/>
    <w:uiPriority w:val="34"/>
    <w:qFormat w:val="1"/>
    <w:rsid w:val="00712EC3"/>
    <w:pPr>
      <w:ind w:left="720"/>
      <w:contextualSpacing w:val="1"/>
    </w:pPr>
  </w:style>
  <w:style w:type="character" w:styleId="IntenseEmphasis">
    <w:name w:val="Intense Emphasis"/>
    <w:basedOn w:val="DefaultParagraphFont"/>
    <w:uiPriority w:val="21"/>
    <w:qFormat w:val="1"/>
    <w:rsid w:val="00712EC3"/>
    <w:rPr>
      <w:i w:val="1"/>
      <w:iCs w:val="1"/>
      <w:color w:val="0f4761" w:themeColor="accent1" w:themeShade="0000BF"/>
    </w:rPr>
  </w:style>
  <w:style w:type="paragraph" w:styleId="IntenseQuote">
    <w:name w:val="Intense Quote"/>
    <w:basedOn w:val="Normal"/>
    <w:next w:val="Normal"/>
    <w:link w:val="IntenseQuoteChar"/>
    <w:uiPriority w:val="30"/>
    <w:qFormat w:val="1"/>
    <w:rsid w:val="00712EC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712EC3"/>
    <w:rPr>
      <w:i w:val="1"/>
      <w:iCs w:val="1"/>
      <w:color w:val="0f4761" w:themeColor="accent1" w:themeShade="0000BF"/>
    </w:rPr>
  </w:style>
  <w:style w:type="character" w:styleId="IntenseReference">
    <w:name w:val="Intense Reference"/>
    <w:basedOn w:val="DefaultParagraphFont"/>
    <w:uiPriority w:val="32"/>
    <w:qFormat w:val="1"/>
    <w:rsid w:val="00712EC3"/>
    <w:rPr>
      <w:b w:val="1"/>
      <w:bCs w:val="1"/>
      <w:smallCaps w:val="1"/>
      <w:color w:val="0f4761" w:themeColor="accent1" w:themeShade="0000BF"/>
      <w:spacing w:val="5"/>
    </w:rPr>
  </w:style>
  <w:style w:type="paragraph" w:styleId="Header">
    <w:name w:val="header"/>
    <w:basedOn w:val="Normal"/>
    <w:link w:val="HeaderChar"/>
    <w:uiPriority w:val="99"/>
    <w:unhideWhenUsed w:val="1"/>
    <w:rsid w:val="00712EC3"/>
    <w:pPr>
      <w:tabs>
        <w:tab w:val="center" w:pos="4680"/>
        <w:tab w:val="right" w:pos="9360"/>
      </w:tabs>
      <w:spacing w:after="0" w:line="240" w:lineRule="auto"/>
    </w:pPr>
  </w:style>
  <w:style w:type="character" w:styleId="HeaderChar" w:customStyle="1">
    <w:name w:val="Header Char"/>
    <w:basedOn w:val="DefaultParagraphFont"/>
    <w:link w:val="Header"/>
    <w:uiPriority w:val="99"/>
    <w:rsid w:val="00712EC3"/>
  </w:style>
  <w:style w:type="paragraph" w:styleId="Footer">
    <w:name w:val="footer"/>
    <w:basedOn w:val="Normal"/>
    <w:link w:val="FooterChar"/>
    <w:uiPriority w:val="99"/>
    <w:unhideWhenUsed w:val="1"/>
    <w:rsid w:val="00712EC3"/>
    <w:pPr>
      <w:tabs>
        <w:tab w:val="center" w:pos="4680"/>
        <w:tab w:val="right" w:pos="9360"/>
      </w:tabs>
      <w:spacing w:after="0" w:line="240" w:lineRule="auto"/>
    </w:pPr>
  </w:style>
  <w:style w:type="character" w:styleId="FooterChar" w:customStyle="1">
    <w:name w:val="Footer Char"/>
    <w:basedOn w:val="DefaultParagraphFont"/>
    <w:link w:val="Footer"/>
    <w:uiPriority w:val="99"/>
    <w:rsid w:val="00712EC3"/>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Montserrat-regular.ttf"/><Relationship Id="rId4" Type="http://schemas.openxmlformats.org/officeDocument/2006/relationships/font" Target="fonts/Montserrat-bold.ttf"/><Relationship Id="rId5" Type="http://schemas.openxmlformats.org/officeDocument/2006/relationships/font" Target="fonts/Montserrat-italic.ttf"/><Relationship Id="rId6"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xvL8e8vG5t91dSmfo2/HIQmAZg==">CgMxLjAyDmgudGoyaXIwdDA3eHJ0Mg5oLmV2NmVucjhyMmI3NjIOaC5hY2x0dnJvZTdza2I4AHIhMWl2RkdmZ3F0Nkx2OEdVRk1SNUVqUkRMX0R5cnFmYUVO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2025-03-28T14:14:00Z</dcterms:created>
  <dc:creator>Monica Parsons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780b7c5e-54db-458d-b130-401042552cda</vt:lpwstr>
  </property>
</Properties>
</file>