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Montserrat" w:cs="Montserrat" w:eastAsia="Montserrat" w:hAnsi="Montserrat"/>
          <w:shd w:fill="efefef" w:val="clear"/>
        </w:rPr>
      </w:pPr>
      <w:r w:rsidDel="00000000" w:rsidR="00000000" w:rsidRPr="00000000">
        <w:rPr>
          <w:rFonts w:ascii="Montserrat" w:cs="Montserrat" w:eastAsia="Montserrat" w:hAnsi="Montserrat"/>
          <w:shd w:fill="efefef" w:val="clear"/>
          <w:rtl w:val="0"/>
        </w:rPr>
        <w:t xml:space="preserve">[Date]</w:t>
      </w:r>
    </w:p>
    <w:p w:rsidR="00000000" w:rsidDel="00000000" w:rsidP="00000000" w:rsidRDefault="00000000" w:rsidRPr="00000000" w14:paraId="00000002">
      <w:pPr>
        <w:spacing w:after="0" w:before="0" w:line="240" w:lineRule="auto"/>
        <w:rPr>
          <w:rFonts w:ascii="Montserrat" w:cs="Montserrat" w:eastAsia="Montserrat" w:hAnsi="Montserrat"/>
          <w:shd w:fill="efefef" w:val="clear"/>
        </w:rPr>
      </w:pPr>
      <w:r w:rsidDel="00000000" w:rsidR="00000000" w:rsidRPr="00000000">
        <w:rPr>
          <w:rFonts w:ascii="Montserrat" w:cs="Montserrat" w:eastAsia="Montserrat" w:hAnsi="Montserrat"/>
          <w:shd w:fill="efefef" w:val="clear"/>
          <w:rtl w:val="0"/>
        </w:rPr>
        <w:t xml:space="preserve">[Prescriber Name]</w:t>
        <w:br w:type="textWrapping"/>
        <w:t xml:space="preserve">[Practice Name]</w:t>
        <w:br w:type="textWrapping"/>
        <w:t xml:space="preserve">[Address]</w:t>
        <w:br w:type="textWrapping"/>
        <w:t xml:space="preserve">[City, State, ZIP]</w:t>
      </w:r>
    </w:p>
    <w:p w:rsidR="00000000" w:rsidDel="00000000" w:rsidP="00000000" w:rsidRDefault="00000000" w:rsidRPr="00000000" w14:paraId="00000003">
      <w:pPr>
        <w:spacing w:after="240" w:before="240" w:line="240" w:lineRule="auto"/>
        <w:rPr>
          <w:rFonts w:ascii="Montserrat" w:cs="Montserrat" w:eastAsia="Montserrat" w:hAnsi="Montserrat"/>
          <w:shd w:fill="efefef" w:val="clear"/>
        </w:rPr>
      </w:pPr>
      <w:r w:rsidDel="00000000" w:rsidR="00000000" w:rsidRPr="00000000">
        <w:rPr>
          <w:rFonts w:ascii="Montserrat" w:cs="Montserrat" w:eastAsia="Montserrat" w:hAnsi="Montserrat"/>
          <w:rtl w:val="0"/>
        </w:rPr>
        <w:t xml:space="preserve">Re: Important Action Required – ICD-10 Coding Changes for Multiple Sclerosis Effective October 1, 2025</w:t>
      </w:r>
      <w:r w:rsidDel="00000000" w:rsidR="00000000" w:rsidRPr="00000000">
        <w:rPr>
          <w:rtl w:val="0"/>
        </w:rPr>
      </w:r>
    </w:p>
    <w:p w:rsidR="00000000" w:rsidDel="00000000" w:rsidP="00000000" w:rsidRDefault="00000000" w:rsidRPr="00000000" w14:paraId="00000004">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Dear </w:t>
      </w:r>
      <w:r w:rsidDel="00000000" w:rsidR="00000000" w:rsidRPr="00000000">
        <w:rPr>
          <w:rFonts w:ascii="Montserrat" w:cs="Montserrat" w:eastAsia="Montserrat" w:hAnsi="Montserrat"/>
          <w:shd w:fill="efefef" w:val="clear"/>
          <w:rtl w:val="0"/>
        </w:rPr>
        <w:t xml:space="preserve">[Prescriber Name]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5">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As you may be aware, beginning </w:t>
      </w:r>
      <w:r w:rsidDel="00000000" w:rsidR="00000000" w:rsidRPr="00000000">
        <w:rPr>
          <w:rFonts w:ascii="Montserrat" w:cs="Montserrat" w:eastAsia="Montserrat" w:hAnsi="Montserrat"/>
          <w:b w:val="1"/>
          <w:rtl w:val="0"/>
        </w:rPr>
        <w:t xml:space="preserve">October 1, 2025</w:t>
      </w:r>
      <w:r w:rsidDel="00000000" w:rsidR="00000000" w:rsidRPr="00000000">
        <w:rPr>
          <w:rFonts w:ascii="Montserrat" w:cs="Montserrat" w:eastAsia="Montserrat" w:hAnsi="Montserrat"/>
          <w:rtl w:val="0"/>
        </w:rPr>
        <w:t xml:space="preserve">, CMS is retiring ICD-10 code </w:t>
      </w:r>
      <w:r w:rsidDel="00000000" w:rsidR="00000000" w:rsidRPr="00000000">
        <w:rPr>
          <w:rFonts w:ascii="Montserrat" w:cs="Montserrat" w:eastAsia="Montserrat" w:hAnsi="Montserrat"/>
          <w:b w:val="1"/>
          <w:rtl w:val="0"/>
        </w:rPr>
        <w:t xml:space="preserve">G35 (Multiple Sclerosis)</w:t>
      </w:r>
      <w:r w:rsidDel="00000000" w:rsidR="00000000" w:rsidRPr="00000000">
        <w:rPr>
          <w:rFonts w:ascii="Montserrat" w:cs="Montserrat" w:eastAsia="Montserrat" w:hAnsi="Montserrat"/>
          <w:rtl w:val="0"/>
        </w:rPr>
        <w:t xml:space="preserve"> and replacing it with a parent category and new phenotype-specific subcodes. Claims and authorizations for MS infusion therapies must use one of the new ICD-10 codes for all dates of service on or after October 1, 2025.</w:t>
      </w:r>
    </w:p>
    <w:p w:rsidR="00000000" w:rsidDel="00000000" w:rsidP="00000000" w:rsidRDefault="00000000" w:rsidRPr="00000000" w14:paraId="00000006">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To avoid treatment delays and ensure payer compliance for the patients enclosed </w:t>
      </w:r>
      <w:r w:rsidDel="00000000" w:rsidR="00000000" w:rsidRPr="00000000">
        <w:rPr>
          <w:rFonts w:ascii="Montserrat" w:cs="Montserrat" w:eastAsia="Montserrat" w:hAnsi="Montserrat"/>
          <w:shd w:fill="efefef" w:val="clear"/>
          <w:rtl w:val="0"/>
        </w:rPr>
        <w:t xml:space="preserve">[provide batch list of patients you are requesting records for]</w:t>
      </w:r>
      <w:r w:rsidDel="00000000" w:rsidR="00000000" w:rsidRPr="00000000">
        <w:rPr>
          <w:rFonts w:ascii="Montserrat" w:cs="Montserrat" w:eastAsia="Montserrat" w:hAnsi="Montserrat"/>
          <w:rtl w:val="0"/>
        </w:rPr>
        <w:t xml:space="preserve">, we respectfully request the following:</w:t>
      </w:r>
    </w:p>
    <w:p w:rsidR="00000000" w:rsidDel="00000000" w:rsidP="00000000" w:rsidRDefault="00000000" w:rsidRPr="00000000" w14:paraId="00000007">
      <w:pPr>
        <w:numPr>
          <w:ilvl w:val="0"/>
          <w:numId w:val="7"/>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Updated office notes clearly documenting MS subtype (including updated ICD-10 code) and disease activity.</w:t>
      </w:r>
    </w:p>
    <w:p w:rsidR="00000000" w:rsidDel="00000000" w:rsidP="00000000" w:rsidRDefault="00000000" w:rsidRPr="00000000" w14:paraId="00000008">
      <w:pPr>
        <w:numPr>
          <w:ilvl w:val="0"/>
          <w:numId w:val="7"/>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Updated infusion orders reflecting the appropriate new ICD-10 code(s).</w:t>
      </w:r>
    </w:p>
    <w:p w:rsidR="00000000" w:rsidDel="00000000" w:rsidP="00000000" w:rsidRDefault="00000000" w:rsidRPr="00000000" w14:paraId="00000009">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new codes are as follows:</w:t>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7680"/>
        <w:gridCol w:w="240"/>
        <w:tblGridChange w:id="0">
          <w:tblGrid>
            <w:gridCol w:w="1425"/>
            <w:gridCol w:w="7680"/>
            <w:gridCol w:w="240"/>
          </w:tblGrid>
        </w:tblGridChange>
      </w:tblGrid>
      <w:tr>
        <w:trPr>
          <w:cantSplit w:val="0"/>
          <w:trHeight w:val="255.922370265005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New Code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rFonts w:ascii="Montserrat" w:cs="Montserrat" w:eastAsia="Montserrat" w:hAnsi="Montserrat"/>
                <w:b w:val="1"/>
              </w:rPr>
            </w:pPr>
            <w:r w:rsidDel="00000000" w:rsidR="00000000" w:rsidRPr="00000000">
              <w:rPr>
                <w:rtl w:val="0"/>
              </w:rPr>
            </w:r>
          </w:p>
        </w:tc>
      </w:tr>
      <w:tr>
        <w:trPr>
          <w:cantSplit w:val="0"/>
          <w:trHeight w:val="334.69460495583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relapsing-remitting multiple sclerosis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Montserrat" w:cs="Montserrat" w:eastAsia="Montserrat" w:hAnsi="Montserrat"/>
              </w:rPr>
            </w:pPr>
            <w:r w:rsidDel="00000000" w:rsidR="00000000" w:rsidRPr="00000000">
              <w:rPr>
                <w:rtl w:val="0"/>
              </w:rPr>
            </w:r>
          </w:p>
        </w:tc>
      </w:tr>
      <w:tr>
        <w:trPr>
          <w:cantSplit w:val="0"/>
          <w:trHeight w:val="334.69460495583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G35B0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primary progressive multiple sclerosis, unspecified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Montserrat" w:cs="Montserrat" w:eastAsia="Montserrat" w:hAnsi="Montserrat"/>
              </w:rPr>
            </w:pPr>
            <w:r w:rsidDel="00000000" w:rsidR="00000000" w:rsidRPr="00000000">
              <w:rPr>
                <w:rtl w:val="0"/>
              </w:rPr>
            </w:r>
          </w:p>
        </w:tc>
      </w:tr>
      <w:tr>
        <w:trPr>
          <w:cantSplit w:val="0"/>
          <w:trHeight w:val="334.69460495583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G35B1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active primary progressive multiple sclerosis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Montserrat" w:cs="Montserrat" w:eastAsia="Montserrat" w:hAnsi="Montserrat"/>
              </w:rPr>
            </w:pPr>
            <w:r w:rsidDel="00000000" w:rsidR="00000000" w:rsidRPr="00000000">
              <w:rPr>
                <w:rtl w:val="0"/>
              </w:rPr>
            </w:r>
          </w:p>
        </w:tc>
      </w:tr>
      <w:tr>
        <w:trPr>
          <w:cantSplit w:val="0"/>
          <w:trHeight w:val="334.69460495583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G35B2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non-active primary progressive multiple sclerosis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Montserrat" w:cs="Montserrat" w:eastAsia="Montserrat" w:hAnsi="Montserrat"/>
              </w:rPr>
            </w:pPr>
            <w:r w:rsidDel="00000000" w:rsidR="00000000" w:rsidRPr="00000000">
              <w:rPr>
                <w:rtl w:val="0"/>
              </w:rPr>
            </w:r>
          </w:p>
        </w:tc>
      </w:tr>
      <w:tr>
        <w:trPr>
          <w:cantSplit w:val="0"/>
          <w:trHeight w:val="334.69460495583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G35C0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secondary progressive multiple sclerosis, unspecified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rPr>
                <w:rFonts w:ascii="Montserrat" w:cs="Montserrat" w:eastAsia="Montserrat" w:hAnsi="Montserrat"/>
              </w:rPr>
            </w:pPr>
            <w:r w:rsidDel="00000000" w:rsidR="00000000" w:rsidRPr="00000000">
              <w:rPr>
                <w:rtl w:val="0"/>
              </w:rPr>
            </w:r>
          </w:p>
        </w:tc>
      </w:tr>
      <w:tr>
        <w:trPr>
          <w:cantSplit w:val="0"/>
          <w:trHeight w:val="334.69460495583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G35C1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active secondary progressive multiple sclerosis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line="240" w:lineRule="auto"/>
              <w:rPr>
                <w:rFonts w:ascii="Montserrat" w:cs="Montserrat" w:eastAsia="Montserrat" w:hAnsi="Montserrat"/>
              </w:rPr>
            </w:pPr>
            <w:r w:rsidDel="00000000" w:rsidR="00000000" w:rsidRPr="00000000">
              <w:rPr>
                <w:rtl w:val="0"/>
              </w:rPr>
            </w:r>
          </w:p>
        </w:tc>
      </w:tr>
      <w:tr>
        <w:trPr>
          <w:cantSplit w:val="0"/>
          <w:trHeight w:val="255.922370265005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G35C2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non-active secondary progressive multiple sclerosis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line="240" w:lineRule="auto"/>
              <w:rPr>
                <w:rFonts w:ascii="Montserrat" w:cs="Montserrat" w:eastAsia="Montserrat" w:hAnsi="Montserrat"/>
              </w:rPr>
            </w:pPr>
            <w:r w:rsidDel="00000000" w:rsidR="00000000" w:rsidRPr="00000000">
              <w:rPr>
                <w:rtl w:val="0"/>
              </w:rPr>
            </w:r>
          </w:p>
        </w:tc>
      </w:tr>
      <w:tr>
        <w:trPr>
          <w:cantSplit w:val="0"/>
          <w:trHeight w:val="255.9223702650052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line="192.00000000000003"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G35D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line="192.00000000000003" w:lineRule="auto"/>
              <w:rPr>
                <w:rFonts w:ascii="Montserrat" w:cs="Montserrat" w:eastAsia="Montserrat" w:hAnsi="Montserrat"/>
              </w:rPr>
            </w:pPr>
            <w:r w:rsidDel="00000000" w:rsidR="00000000" w:rsidRPr="00000000">
              <w:rPr>
                <w:rFonts w:ascii="Montserrat" w:cs="Montserrat" w:eastAsia="Montserrat" w:hAnsi="Montserrat"/>
                <w:rtl w:val="0"/>
              </w:rPr>
              <w:t xml:space="preserve">multiple sclerosis, unspecified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25">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information is required to demonstrate medical necessity and to secure new or updated authorizations for your patients. Without it, payers may deny claims and delay therapy.</w:t>
      </w:r>
    </w:p>
    <w:p w:rsidR="00000000" w:rsidDel="00000000" w:rsidP="00000000" w:rsidRDefault="00000000" w:rsidRPr="00000000" w14:paraId="00000026">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forward updated documentation and orders to </w:t>
      </w:r>
      <w:r w:rsidDel="00000000" w:rsidR="00000000" w:rsidRPr="00000000">
        <w:rPr>
          <w:rFonts w:ascii="Montserrat" w:cs="Montserrat" w:eastAsia="Montserrat" w:hAnsi="Montserrat"/>
          <w:shd w:fill="efefef" w:val="clear"/>
          <w:rtl w:val="0"/>
        </w:rPr>
        <w:t xml:space="preserve">[fax/email/portal instructions]</w:t>
      </w:r>
      <w:r w:rsidDel="00000000" w:rsidR="00000000" w:rsidRPr="00000000">
        <w:rPr>
          <w:rFonts w:ascii="Montserrat" w:cs="Montserrat" w:eastAsia="Montserrat" w:hAnsi="Montserrat"/>
          <w:rtl w:val="0"/>
        </w:rPr>
        <w:t xml:space="preserve"> as soon as possible, </w:t>
      </w:r>
      <w:r w:rsidDel="00000000" w:rsidR="00000000" w:rsidRPr="00000000">
        <w:rPr>
          <w:rFonts w:ascii="Montserrat" w:cs="Montserrat" w:eastAsia="Montserrat" w:hAnsi="Montserrat"/>
          <w:rtl w:val="0"/>
        </w:rPr>
        <w:t xml:space="preserve">prioritizing the patients enclosed.</w:t>
      </w:r>
      <w:r w:rsidDel="00000000" w:rsidR="00000000" w:rsidRPr="00000000">
        <w:rPr>
          <w:rtl w:val="0"/>
        </w:rPr>
      </w:r>
    </w:p>
    <w:p w:rsidR="00000000" w:rsidDel="00000000" w:rsidP="00000000" w:rsidRDefault="00000000" w:rsidRPr="00000000" w14:paraId="00000027">
      <w:pPr>
        <w:spacing w:after="240" w:before="24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We value your partnership and thank you for helping us ensure continuity of care for patients living with MS. If you have any questions regarding these ICD-10 changes, please contact us at </w:t>
      </w:r>
      <w:r w:rsidDel="00000000" w:rsidR="00000000" w:rsidRPr="00000000">
        <w:rPr>
          <w:rFonts w:ascii="Montserrat" w:cs="Montserrat" w:eastAsia="Montserrat" w:hAnsi="Montserrat"/>
          <w:shd w:fill="efefef" w:val="clear"/>
          <w:rtl w:val="0"/>
        </w:rPr>
        <w:t xml:space="preserve">[phone/email]</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8">
      <w:pPr>
        <w:spacing w:after="240" w:before="240" w:line="240" w:lineRule="auto"/>
        <w:rPr>
          <w:rFonts w:ascii="Montserrat" w:cs="Montserrat" w:eastAsia="Montserrat" w:hAnsi="Montserrat"/>
          <w:shd w:fill="efefef" w:val="clear"/>
        </w:rPr>
      </w:pPr>
      <w:r w:rsidDel="00000000" w:rsidR="00000000" w:rsidRPr="00000000">
        <w:rPr>
          <w:rFonts w:ascii="Montserrat" w:cs="Montserrat" w:eastAsia="Montserrat" w:hAnsi="Montserrat"/>
          <w:rtl w:val="0"/>
        </w:rPr>
        <w:t xml:space="preserve">Sincerely,</w:t>
        <w:br w:type="textWrapping"/>
        <w:t xml:space="preserve"> </w:t>
      </w:r>
      <w:r w:rsidDel="00000000" w:rsidR="00000000" w:rsidRPr="00000000">
        <w:rPr>
          <w:rFonts w:ascii="Montserrat" w:cs="Montserrat" w:eastAsia="Montserrat" w:hAnsi="Montserrat"/>
          <w:shd w:fill="efefef" w:val="clear"/>
          <w:rtl w:val="0"/>
        </w:rPr>
        <w:t xml:space="preserve">[Name]</w:t>
        <w:br w:type="textWrapping"/>
        <w:t xml:space="preserve"> [Title]</w:t>
        <w:br w:type="textWrapping"/>
        <w:t xml:space="preserve"> [Infusion Center Name]</w:t>
        <w:br w:type="textWrapping"/>
        <w:t xml:space="preserve"> [Contact Information]</w:t>
      </w:r>
    </w:p>
    <w:p w:rsidR="00000000" w:rsidDel="00000000" w:rsidP="00000000" w:rsidRDefault="00000000" w:rsidRPr="00000000" w14:paraId="00000029">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To help ensure uninterrupted treatment and compliance with updated payer requirements, please provide updated office notes and infusion orders for the patients listed below. Documentation should clearly reflect the MS subtype, disease activity, and the corresponding new ICD-10 code(s). Prompt submission will help prevent potential delays in patient care.</w:t>
      </w:r>
    </w:p>
    <w:p w:rsidR="00000000" w:rsidDel="00000000" w:rsidP="00000000" w:rsidRDefault="00000000" w:rsidRPr="00000000" w14:paraId="0000004D">
      <w:pPr>
        <w:spacing w:line="240" w:lineRule="auto"/>
        <w:rPr>
          <w:rFonts w:ascii="Montserrat" w:cs="Montserrat" w:eastAsia="Montserrat" w:hAnsi="Montserra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1680"/>
        <w:gridCol w:w="1335"/>
        <w:gridCol w:w="1440"/>
        <w:tblGridChange w:id="0">
          <w:tblGrid>
            <w:gridCol w:w="4905"/>
            <w:gridCol w:w="1680"/>
            <w:gridCol w:w="1335"/>
            <w:gridCol w:w="1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Patient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Updated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Updated Order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tl w:val="0"/>
              </w:rPr>
            </w:r>
          </w:p>
        </w:tc>
      </w:tr>
    </w:tbl>
    <w:p w:rsidR="00000000" w:rsidDel="00000000" w:rsidP="00000000" w:rsidRDefault="00000000" w:rsidRPr="00000000" w14:paraId="0000009E">
      <w:pPr>
        <w:spacing w:line="240" w:lineRule="auto"/>
        <w:rPr>
          <w:rFonts w:ascii="Montserrat" w:cs="Montserrat" w:eastAsia="Montserrat" w:hAnsi="Montserrat"/>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